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Segundo números da CEPAL (Comissão Econômica para América Latina), 40% de todos os assassinatos de mulheres, na América Latina e Caribe, aconteceram no Brasil.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commentRangeStart w:id="0"/>
      <w:r>
        <w:rPr>
          <w:rFonts w:ascii="Bookman Old Style" w:hAnsi="Bookman Old Style"/>
          <w:sz w:val="24"/>
          <w:szCs w:val="24"/>
        </w:rPr>
        <w:t>Apenas em 2019, 126 mulheres foram assassinadas em razão do seu estereotipo de gênero, além das 67 tentativas de feminicídio. Apenas no Estado do Rio de Janeiro e no Estado de São Paulo, em média, a cada ano, aproximadamente 700 mulheres morrem.</w:t>
      </w:r>
      <w:commentRangeEnd w:id="0"/>
      <w:r>
        <w:commentReference w:id="0"/>
      </w: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4"/>
          <w:szCs w:val="24"/>
        </w:rPr>
        <w:t>Em razão do número alarmante de casos de violência contra a mulher no Brasil, a OAS (Organização das Nações Unidas) publicou nota em que considera de ex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trema urgência a implementação de estratégias de prevenção, obrigação de investigar, julgar e punir, e o mais importante, oferecer proteção e reparação integral a todas as vítimas.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roda de conversa proposta buscará elucidar os aspectos legislativos, processuais e procedimentais, tanto da Lei Maria da Penha (Lei 11.340/06), quanto da Lei que tipificou o crime de feminicídio (Lei 13.104/15), bem como traçar um paralelo entre elas, reconhecer seus avanços e falhas, e o mais importante: detectar os aspectos sociais e culturais responsáveis pela posição lastimável de 5º lugar, ocupado pelo Brasil no ranking mundial de feminicídio. 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Dentre outros aspectos, o machismo estrutural tem lugar especial nas causas de violência contra a mulher quando se observa que, na maioria dos casos, as mulheres assassinadas já haviam denunciado seus agressores além </w:t>
      </w:r>
      <w:r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que quase a metade dos assassinatos de mulheres no Brasil são cometidos dentro de suas próprias casas.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Se por um lado a legislação vem se aprimorando, por outro, o modelo patriarcal ainda vibrante no Brasil tem evidentemente frustrado tanto a redução do número desse tipo de crime, como também tem possibilitado o seu crescimento. 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É importante trazer ao debate questionamentos como: Qual a razão para essas mulheres, mesmo sofrendo violência psíquica e/ou física, continuarem se submetendo a esse tipo de tratamento criminoso? Qual a relação direta entre a dependência financeira compulsória e a submissão? Como a falência do sistema educacional para crianças de 0 a 5 anos – Direito Constitucional assegurado pelo Art. 7º, inciso XXV da Constituição Federal – reflete nesses números? Quais políticas sociais poderiam ser implementadas no sentido de oferecer de fato reparação integral às vítimas? De que forma o colapso do sistema prisional Brasileiro e o machismo nas instituições públicas interferem na efetiva execução da lei? Como prevenir a re-vitimização? Qual a abrangência das delegacias especializadas no Brasil? 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As respostas para simples questionamentos como esses certamente levarão </w:t>
      </w:r>
      <w:r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pelo menos uma conclusão: Não há evolução e aprimoramento legislativo que por si só consiga atingir potencialmente o objetivo pretendido. É preciso repensar o problema </w:t>
      </w:r>
      <w:r>
        <w:rPr>
          <w:rFonts w:ascii="Bookman Old Style" w:hAnsi="Bookman Old Style"/>
          <w:b/>
          <w:sz w:val="24"/>
          <w:szCs w:val="24"/>
        </w:rPr>
        <w:t>violência contra a mulher</w:t>
      </w:r>
      <w:r>
        <w:rPr>
          <w:rFonts w:ascii="Bookman Old Style" w:hAnsi="Bookman Old Style"/>
          <w:sz w:val="24"/>
          <w:szCs w:val="24"/>
        </w:rPr>
        <w:t xml:space="preserve"> sob a ótica sociocultural em que vivemos.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284" w:top="2127" w:footer="432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Jordana Xavier" w:date="2019-04-23T23:06:00Z" w:initials="JX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Seria bacana fazer um levantamento no Paraná, já que falaremos aqui. O que acha?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Microsoft JhengHei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Microsoft JhengHei UI" w:hAnsi="Microsoft JhengHei UI" w:eastAsia="Microsoft JhengHei UI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03F0DAAE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5723255" cy="1270"/>
              <wp:effectExtent l="0" t="0" r="30480" b="19050"/>
              <wp:wrapNone/>
              <wp:docPr id="4" name="Conector reto 1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2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0.45pt" to="459.55pt,0.45pt" ID="Conector reto 149" stroked="t" style="position:absolute;mso-position-horizontal:left;mso-position-horizontal-relative:margin" wp14:anchorId="03F0DAAE">
              <v:stroke color="#ffc000" weight="6480" joinstyle="miter" endcap="flat"/>
              <v:fill o:detectmouseclick="t" on="false"/>
            </v:line>
          </w:pict>
        </mc:Fallback>
      </mc:AlternateContent>
    </w:r>
    <w:r>
      <w:rPr>
        <w:rFonts w:eastAsia="Microsoft JhengHei UI" w:ascii="Microsoft JhengHei UI" w:hAnsi="Microsoft JhengHei UI"/>
        <w:sz w:val="16"/>
        <w:szCs w:val="16"/>
      </w:rPr>
      <w:t>Rua São Paulo, nº 71, Itajuba – CEP 88.390-000, Fone: (47) 99156-4361, Barra Velha/SC – E-mail: devecchi87@gmail.com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rPr/>
      <w:drawing>
        <wp:inline distT="0" distB="8255" distL="0" distR="3175">
          <wp:extent cx="664210" cy="639445"/>
          <wp:effectExtent l="0" t="0" r="0" b="0"/>
          <wp:docPr id="1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Microsoft JhengHei UI" w:hAnsi="Microsoft JhengHei UI" w:eastAsia="Microsoft JhengHei UI"/>
        <w:b/>
        <w:b/>
        <w:sz w:val="16"/>
        <w:szCs w:val="16"/>
      </w:rPr>
    </w:pPr>
    <w:r>
      <w:rPr>
        <w:rFonts w:eastAsia="Microsoft JhengHei UI" w:ascii="Microsoft JhengHei UI" w:hAnsi="Microsoft JhengHei UI"/>
        <w:b/>
        <w:sz w:val="16"/>
        <w:szCs w:val="16"/>
      </w:rPr>
      <w:t>AMANDA DE VECCHI</w:t>
    </w:r>
  </w:p>
  <w:p>
    <w:pPr>
      <w:pStyle w:val="Cabealho"/>
      <w:jc w:val="center"/>
      <w:rPr>
        <w:rFonts w:ascii="Microsoft JhengHei UI" w:hAnsi="Microsoft JhengHei UI" w:eastAsia="Microsoft JhengHei UI"/>
        <w:b/>
        <w:b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8A4ADD1">
              <wp:simplePos x="0" y="0"/>
              <wp:positionH relativeFrom="column">
                <wp:posOffset>-13335</wp:posOffset>
              </wp:positionH>
              <wp:positionV relativeFrom="paragraph">
                <wp:posOffset>196215</wp:posOffset>
              </wp:positionV>
              <wp:extent cx="0" cy="0"/>
              <wp:effectExtent l="0" t="0" r="0" b="0"/>
              <wp:wrapNone/>
              <wp:docPr id="2" name="Conector de seta reta 1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tailEnd len="med" type="triangle" w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116" stroked="t" style="position:absolute;margin-left:-1942.2pt;margin-top:-1727.1pt;width:1941.15pt;height:1742.55pt" wp14:anchorId="18A4ADD1" type="shapetype_32">
              <w10:wrap type="none"/>
              <v:fill o:detectmouseclick="t" on="false"/>
              <v:stroke color="#5b9bd5" weight="6480" endarrow="block" endarrowwidth="medium" endarrowlength="medium" joinstyle="miter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44B8845D">
              <wp:simplePos x="0" y="0"/>
              <wp:positionH relativeFrom="margin">
                <wp:align>right</wp:align>
              </wp:positionH>
              <wp:positionV relativeFrom="paragraph">
                <wp:posOffset>187325</wp:posOffset>
              </wp:positionV>
              <wp:extent cx="5799455" cy="1270"/>
              <wp:effectExtent l="0" t="0" r="30480" b="19050"/>
              <wp:wrapNone/>
              <wp:docPr id="3" name="Conector reto 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88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4.5pt,14.75pt" to="442.05pt,14.75pt" ID="Conector reto 117" stroked="t" style="position:absolute;mso-position-horizontal:right;mso-position-horizontal-relative:margin" wp14:anchorId="44B8845D">
              <v:stroke color="#ffc000" weight="6480" joinstyle="miter" endcap="flat"/>
              <v:fill o:detectmouseclick="t" on="false"/>
            </v:line>
          </w:pict>
        </mc:Fallback>
      </mc:AlternateContent>
    </w:r>
    <w:r>
      <w:rPr>
        <w:rFonts w:eastAsia="Microsoft JhengHei UI" w:ascii="Microsoft JhengHei UI" w:hAnsi="Microsoft JhengHei UI"/>
        <w:b/>
        <w:sz w:val="16"/>
        <w:szCs w:val="16"/>
      </w:rPr>
      <w:t>OAB/SC 54387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808f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808f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2ed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2ed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02ed9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02ed9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2808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08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2e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02e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02ed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Petição.dotx</Template>
  <TotalTime>5</TotalTime>
  <Application>LibreOffice/5.1.6.2$Linux_X86_64 LibreOffice_project/10m0$Build-2</Application>
  <Pages>2</Pages>
  <Words>458</Words>
  <Characters>2532</Characters>
  <CharactersWithSpaces>2986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2019-04-24T02:13:00Z</dcterms:created>
  <dc:creator>Usuario</dc:creator>
  <dc:description/>
  <dc:language>pt-BR</dc:language>
  <cp:lastModifiedBy/>
  <cp:lastPrinted>2019-04-15T02:50:00Z</cp:lastPrinted>
  <dcterms:modified xsi:type="dcterms:W3CDTF">2019-04-26T17:53:02Z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